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Program Summary</w:t>
      </w:r>
    </w:p>
    <w:p>
      <w:r>
        <w:t>Testing scope: 36 months, 4 grow rooms of 1,000 sq ft each, 25 harvests per room (100 total), approximately 800 reflector deployments, 20/4 lighting schedule, ±3% uncertainty.</w:t>
      </w:r>
    </w:p>
    <w:p>
      <w:pPr>
        <w:pStyle w:val="Heading1"/>
      </w:pPr>
      <w:r>
        <w:t>Available Files</w:t>
      </w:r>
    </w:p>
    <w:p>
      <w:r>
        <w:t>Nano-Grow-Light-PPFD-Data.xlsx</w:t>
        <w:br/>
        <w:t>Nano-Grow-Light-Reflectance-Data.xlsx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M365 Copilot</lastModifiedBy>
  <revision>1</revision>
  <dcterms:created xsi:type="dcterms:W3CDTF">2026-10-31T23:05:02.5778713Z</dcterms:created>
  <dcterms:modified xsi:type="dcterms:W3CDTF">2026-10-31T23:05:02.5778713Z</dcterms:modified>
  <category/>
</coreProperties>
</file>